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May 18, 2026</w:t>
      </w:r>
    </w:p>
    <w:p>
      <w:pPr>
        <w:spacing w:after="0" w:line="1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16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FORM S-8</w:t>
      </w:r>
    </w:p>
    <w:p>
      <w:pPr>
        <w:spacing w:after="0" w:line="10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3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BRIGHTSPIRE CAPITAL, INC.</w:t>
      </w:r>
    </w:p>
    <w:p>
      <w:pPr>
        <w:spacing w:after="0" w:line="3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10" w:lineRule="exact"/>
        <w:rPr>
          <w:sz w:val="24"/>
          <w:szCs w:val="24"/>
          <w:color w:val="auto"/>
        </w:rPr>
      </w:pPr>
    </w:p>
    <w:tbl>
      <w:tblPr>
        <w:tblLayout w:type="fixed"/>
        <w:tblInd w:w="280" w:type="dxa"/>
        <w:tblCellMar>
          <w:top w:w="0" w:type="dxa"/>
          <w:left w:w="0" w:type="dxa"/>
          <w:bottom w:w="0" w:type="dxa"/>
          <w:right w:w="0" w:type="dxa"/>
        </w:tblCellMar>
      </w:tblPr>
      <w:tr>
        <w:trPr>
          <w:trHeight w:val="206"/>
        </w:trPr>
        <w:tc>
          <w:tcPr>
            <w:tcW w:w="4400" w:type="dxa"/>
            <w:vAlign w:val="bottom"/>
          </w:tcPr>
          <w:p>
            <w:pPr>
              <w:jc w:val="center"/>
              <w:ind w:right="1615"/>
              <w:spacing w:after="0"/>
              <w:rPr>
                <w:sz w:val="20"/>
                <w:szCs w:val="20"/>
                <w:color w:val="auto"/>
              </w:rPr>
            </w:pPr>
            <w:r>
              <w:rPr>
                <w:rFonts w:ascii="Times New Roman" w:cs="Times New Roman" w:eastAsia="Times New Roman" w:hAnsi="Times New Roman"/>
                <w:sz w:val="17"/>
                <w:szCs w:val="17"/>
                <w:b w:val="1"/>
                <w:bCs w:val="1"/>
                <w:color w:val="auto"/>
              </w:rPr>
              <w:t>Maryland</w:t>
            </w:r>
          </w:p>
        </w:tc>
        <w:tc>
          <w:tcPr>
            <w:tcW w:w="32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38-4046290</w:t>
            </w:r>
          </w:p>
        </w:tc>
        <w:tc>
          <w:tcPr>
            <w:tcW w:w="0" w:type="dxa"/>
            <w:vAlign w:val="bottom"/>
          </w:tcPr>
          <w:p>
            <w:pPr>
              <w:spacing w:after="0"/>
              <w:rPr>
                <w:sz w:val="1"/>
                <w:szCs w:val="1"/>
                <w:color w:val="auto"/>
              </w:rPr>
            </w:pPr>
          </w:p>
        </w:tc>
      </w:tr>
      <w:tr>
        <w:trPr>
          <w:trHeight w:val="202"/>
        </w:trPr>
        <w:tc>
          <w:tcPr>
            <w:tcW w:w="4400" w:type="dxa"/>
            <w:vAlign w:val="bottom"/>
          </w:tcPr>
          <w:p>
            <w:pPr>
              <w:jc w:val="center"/>
              <w:ind w:right="161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260" w:type="dxa"/>
            <w:vAlign w:val="bottom"/>
          </w:tcPr>
          <w:p>
            <w:pPr>
              <w:jc w:val="center"/>
              <w:ind w:left="1615"/>
              <w:spacing w:after="0"/>
              <w:rPr>
                <w:sz w:val="20"/>
                <w:szCs w:val="20"/>
                <w:color w:val="auto"/>
              </w:rPr>
            </w:pPr>
            <w:r>
              <w:rPr>
                <w:rFonts w:ascii="Times New Roman" w:cs="Times New Roman" w:eastAsia="Times New Roman" w:hAnsi="Times New Roman"/>
                <w:sz w:val="17"/>
                <w:szCs w:val="17"/>
                <w:color w:val="auto"/>
              </w:rPr>
              <w:t>(IRS Employer</w:t>
            </w:r>
          </w:p>
        </w:tc>
        <w:tc>
          <w:tcPr>
            <w:tcW w:w="0" w:type="dxa"/>
            <w:vAlign w:val="bottom"/>
          </w:tcPr>
          <w:p>
            <w:pPr>
              <w:spacing w:after="0"/>
              <w:rPr>
                <w:sz w:val="1"/>
                <w:szCs w:val="1"/>
                <w:color w:val="auto"/>
              </w:rPr>
            </w:pPr>
          </w:p>
        </w:tc>
      </w:tr>
      <w:tr>
        <w:trPr>
          <w:trHeight w:val="219"/>
        </w:trPr>
        <w:tc>
          <w:tcPr>
            <w:tcW w:w="4400" w:type="dxa"/>
            <w:vAlign w:val="bottom"/>
          </w:tcPr>
          <w:p>
            <w:pPr>
              <w:jc w:val="center"/>
              <w:ind w:right="1615"/>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260" w:type="dxa"/>
            <w:vAlign w:val="bottom"/>
          </w:tcPr>
          <w:p>
            <w:pPr>
              <w:jc w:val="center"/>
              <w:ind w:left="1615"/>
              <w:spacing w:after="0"/>
              <w:rPr>
                <w:sz w:val="20"/>
                <w:szCs w:val="20"/>
                <w:color w:val="auto"/>
              </w:rPr>
            </w:pPr>
            <w:r>
              <w:rPr>
                <w:rFonts w:ascii="Times New Roman" w:cs="Times New Roman" w:eastAsia="Times New Roman" w:hAnsi="Times New Roman"/>
                <w:sz w:val="17"/>
                <w:szCs w:val="17"/>
                <w:color w:val="auto"/>
                <w:w w:val="99"/>
              </w:rPr>
              <w:t>Identification Number)</w:t>
            </w:r>
          </w:p>
        </w:tc>
        <w:tc>
          <w:tcPr>
            <w:tcW w:w="0" w:type="dxa"/>
            <w:vAlign w:val="bottom"/>
          </w:tcPr>
          <w:p>
            <w:pPr>
              <w:spacing w:after="0"/>
              <w:rPr>
                <w:sz w:val="1"/>
                <w:szCs w:val="1"/>
                <w:color w:val="auto"/>
              </w:rPr>
            </w:pPr>
          </w:p>
        </w:tc>
      </w:tr>
      <w:tr>
        <w:trPr>
          <w:trHeight w:val="371"/>
        </w:trPr>
        <w:tc>
          <w:tcPr>
            <w:tcW w:w="4400" w:type="dxa"/>
            <w:vAlign w:val="bottom"/>
          </w:tcPr>
          <w:p>
            <w:pPr>
              <w:jc w:val="center"/>
              <w:ind w:right="1615"/>
              <w:spacing w:after="0"/>
              <w:rPr>
                <w:sz w:val="20"/>
                <w:szCs w:val="20"/>
                <w:color w:val="auto"/>
              </w:rPr>
            </w:pPr>
            <w:r>
              <w:rPr>
                <w:rFonts w:ascii="Times New Roman" w:cs="Times New Roman" w:eastAsia="Times New Roman" w:hAnsi="Times New Roman"/>
                <w:sz w:val="17"/>
                <w:szCs w:val="17"/>
                <w:b w:val="1"/>
                <w:bCs w:val="1"/>
                <w:color w:val="auto"/>
                <w:w w:val="99"/>
              </w:rPr>
              <w:t>590 Madison Avenue, 33rd Floor</w:t>
            </w:r>
          </w:p>
        </w:tc>
        <w:tc>
          <w:tcPr>
            <w:tcW w:w="3260" w:type="dxa"/>
            <w:vAlign w:val="bottom"/>
            <w:vMerge w:val="restart"/>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10022</w:t>
            </w:r>
          </w:p>
        </w:tc>
        <w:tc>
          <w:tcPr>
            <w:tcW w:w="0" w:type="dxa"/>
            <w:vAlign w:val="bottom"/>
          </w:tcPr>
          <w:p>
            <w:pPr>
              <w:spacing w:after="0"/>
              <w:rPr>
                <w:sz w:val="1"/>
                <w:szCs w:val="1"/>
                <w:color w:val="auto"/>
              </w:rPr>
            </w:pPr>
          </w:p>
        </w:tc>
      </w:tr>
      <w:tr>
        <w:trPr>
          <w:trHeight w:val="195"/>
        </w:trPr>
        <w:tc>
          <w:tcPr>
            <w:tcW w:w="4400" w:type="dxa"/>
            <w:vAlign w:val="bottom"/>
          </w:tcPr>
          <w:p>
            <w:pPr>
              <w:jc w:val="center"/>
              <w:ind w:right="1615"/>
              <w:spacing w:after="0"/>
              <w:rPr>
                <w:sz w:val="20"/>
                <w:szCs w:val="20"/>
                <w:color w:val="auto"/>
              </w:rPr>
            </w:pPr>
            <w:r>
              <w:rPr>
                <w:rFonts w:ascii="Times New Roman" w:cs="Times New Roman" w:eastAsia="Times New Roman" w:hAnsi="Times New Roman"/>
                <w:sz w:val="17"/>
                <w:szCs w:val="17"/>
                <w:b w:val="1"/>
                <w:bCs w:val="1"/>
                <w:color w:val="auto"/>
                <w:w w:val="98"/>
              </w:rPr>
              <w:t>New York, NY</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400" w:type="dxa"/>
            <w:vAlign w:val="bottom"/>
          </w:tcPr>
          <w:p>
            <w:pPr>
              <w:jc w:val="center"/>
              <w:ind w:right="1615"/>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3260" w:type="dxa"/>
            <w:vAlign w:val="bottom"/>
          </w:tcPr>
          <w:p>
            <w:pPr>
              <w:jc w:val="center"/>
              <w:ind w:left="1615"/>
              <w:spacing w:after="0"/>
              <w:rPr>
                <w:sz w:val="20"/>
                <w:szCs w:val="20"/>
                <w:color w:val="auto"/>
              </w:rPr>
            </w:pPr>
            <w:r>
              <w:rPr>
                <w:rFonts w:ascii="Times New Roman" w:cs="Times New Roman" w:eastAsia="Times New Roman" w:hAnsi="Times New Roman"/>
                <w:sz w:val="17"/>
                <w:szCs w:val="17"/>
                <w:color w:val="auto"/>
              </w:rPr>
              <w:t>(Zip code)</w:t>
            </w:r>
          </w:p>
        </w:tc>
        <w:tc>
          <w:tcPr>
            <w:tcW w:w="0" w:type="dxa"/>
            <w:vAlign w:val="bottom"/>
          </w:tcPr>
          <w:p>
            <w:pPr>
              <w:spacing w:after="0"/>
              <w:rPr>
                <w:sz w:val="1"/>
                <w:szCs w:val="1"/>
                <w:color w:val="auto"/>
              </w:rPr>
            </w:pPr>
          </w:p>
        </w:tc>
      </w:tr>
    </w:tbl>
    <w:p>
      <w:pPr>
        <w:spacing w:after="0" w:line="2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BrightSpire Capital, Inc. 2022 Equity Incentive Plan</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(Full title of the Plan)</w:t>
      </w:r>
    </w:p>
    <w:p>
      <w:pPr>
        <w:spacing w:after="0" w:line="1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David A. Palamé</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590 Madison Avenue, 33rd Floor</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New York, New York 10022</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(Name and address of agent for service)</w:t>
      </w:r>
    </w:p>
    <w:p>
      <w:pPr>
        <w:spacing w:after="0" w:line="1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(212) 547-2631</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(Telephone number, including area code, of agent for service)</w:t>
      </w:r>
    </w:p>
    <w:p>
      <w:pPr>
        <w:spacing w:after="0" w:line="16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r>
        <w:rPr>
          <w:rFonts w:ascii="Times New Roman" w:cs="Times New Roman" w:eastAsia="Times New Roman" w:hAnsi="Times New Roman"/>
          <w:sz w:val="17"/>
          <w:szCs w:val="17"/>
          <w:b w:val="1"/>
          <w:bCs w:val="1"/>
          <w:color w:val="auto"/>
        </w:rPr>
        <w:t>:</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Stuart A. Barr</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Amy Blackman</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Fried, Frank, Harris, Shriver &amp; Jacobson LLP</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801 17th Street, NW</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Washington, DC 20006</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(202) 639-7000</w:t>
      </w:r>
    </w:p>
    <w:p>
      <w:pPr>
        <w:sectPr>
          <w:pgSz w:w="11900" w:h="16838" w:orient="portrait"/>
          <w:cols w:equalWidth="0" w:num="1">
            <w:col w:w="10140"/>
          </w:cols>
          <w:pgMar w:left="1440" w:top="1165" w:right="31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2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82"/>
        </w:trPr>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20" w:type="dxa"/>
            <w:vAlign w:val="bottom"/>
          </w:tcPr>
          <w:p>
            <w:pPr>
              <w:ind w:left="7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82"/>
        </w:trPr>
        <w:tc>
          <w:tcPr>
            <w:tcW w:w="2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7"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ectPr>
          <w:pgSz w:w="11900" w:h="16838" w:orient="portrait"/>
          <w:cols w:equalWidth="0" w:num="1">
            <w:col w:w="11280"/>
          </w:cols>
          <w:pgMar w:left="300" w:top="108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13, 2026, the Class A common stockholders of BrightSpire Capital, Inc., a Maryland corporation (the “Company”), approved the second amendment to the BrightSpire Capital, Inc. 2022 Equity Incentive Plan, as heretofore amended (the “2022 Plan” and such second amendment, the “2022 Plan Amendment”) to increase the total number of shares of Class A common stock of the Company, $0.01 par value per share (the “Common Stock”) issuable under the 2022 Plan by 10,000,000 shares and to clarify and provide a cash-denominated limit on awards to non-employee directors in any calendar year.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Pursuant to General Instruction E of Form S-8, 10,000,000 shares of the Common Stock are hereby registered for issuance, as authorized by the 2022 Plan Amendment. The contents of the Company’s Form S-8 filed on February 1, 2018 (File No. 333-222812) and the Form S-8 filed on May 5, 2022 (File No. 333-264725) are incorporated herein by reference and made a part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documents containing the information specified in Part I will be sent or given to the persons participating in the 2022 Plan, as specified by Rule 428(b)(1) under the Securities Act of 1933, as amended (the “Securities Act”). In accordance with the instructions to Part I of Form S-8, such documents need not be filed with the Securities and Exchange Commission (the “Commission”) either as part of this registration statement or as prospectuses or prospectus supplements pursuant to Rule 424 promulgated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which the Company has previously filed with the Commission, are hereby incorporated by reference into this registration statement:</w:t>
      </w:r>
    </w:p>
    <w:p>
      <w:pPr>
        <w:spacing w:after="0" w:line="186" w:lineRule="exact"/>
        <w:rPr>
          <w:sz w:val="20"/>
          <w:szCs w:val="20"/>
          <w:color w:val="auto"/>
        </w:rPr>
      </w:pPr>
    </w:p>
    <w:p>
      <w:pPr>
        <w:ind w:left="1020" w:hanging="506"/>
        <w:spacing w:after="0"/>
        <w:tabs>
          <w:tab w:leader="none" w:pos="10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Annual Report on Form 10-K for the fiscal year ended December 31, 2025, filed on February 18, 2026.</w:t>
      </w:r>
    </w:p>
    <w:p>
      <w:pPr>
        <w:spacing w:after="0" w:line="175"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Current Reports on Form 8-K filed on February 23, 2026, March 18, 2026, April 1, 2026 and May 13, 2026;</w:t>
      </w:r>
    </w:p>
    <w:p>
      <w:pPr>
        <w:spacing w:after="0" w:line="175"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Quarterly Report on Form 10-Q filed on April 29, 2026;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080" w:right="319" w:bottom="1440" w:gutter="0" w:footer="0" w:header="0"/>
        </w:sectPr>
      </w:pPr>
    </w:p>
    <w:bookmarkStart w:id="3" w:name="page4"/>
    <w:bookmarkEnd w:id="3"/>
    <w:p>
      <w:pPr>
        <w:jc w:val="both"/>
        <w:ind w:left="1020" w:hanging="506"/>
        <w:spacing w:after="0" w:line="276" w:lineRule="auto"/>
        <w:tabs>
          <w:tab w:leader="none" w:pos="1016"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description of the Common Stock contained in its Registration Statement on Form 8-A, filed on January 31, 2018, pursuant to Section 12 of the Securities Exchange Act of 1934, as amended (the “Exchange Act”), and all amendments or reports filed for the purpose of updating such description.</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all documents and reports subsequently filed by the Company pursuant to Sections 13(a), 13(c), 14 and 15(d) of the Exchange Act (excluding any information that is deemed to have been “furnished” and not “filed” with the Commission, including any Item 2.02 or Item 7.01 of any Current Report on Form 8-K), prior to the filing of a post-effective amendment which indicates that all securities offered have been sold or which deregisters all securities remaining unsold, shall be deemed to be incorporated by reference in this registration statement and to be part hereof from the date of filing of such documents or reports.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Maryland law permits a Maryland corporation to include in its charter a provision eliminating the liability of its directors and officers to the corporation and its stockholders for money damages except for liability resulting from: (i) actual receipt of an improper benefit or profit in money, property or services; or (ii) active and deliberate dishonesty that is established by a final judgment and is material to the cause of action. The Company’s charter contains such a provision that eliminates directors’ and officers’ liability to the maximum extent permitted by Maryland law.</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charter and bylaws obligate it, to the maximum extent permitted by Maryland law in effect from time-to-time, to indemnify and, without requiring a preliminary determination of the ultimate entitlement to indemnification, pay or reimburse reasonable expenses in advance of final disposition of a proceeding to (i) any present or former director or officer of the Company or (ii) any individual who, while a director or officer of the Company and at the Company’s request, serves or has served another corporation, real estate investment trust, limited liability company, partnership, joint venture, trust, employee benefit plan or other enterprise as a director, officer, trustee, member, manager, employee, partner or agent, and who is made or threatened to be made a party to, or witness in, a proceeding by reason of his or her service in such capacity. The Company’s charter and bylaws also obligate it to indemnify and advance expenses to any person who served a predecessor of us in any of the capacities described above and permit us, with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084" w:right="319" w:bottom="1440" w:gutter="0" w:footer="0" w:header="0"/>
        </w:sectPr>
      </w:pPr>
    </w:p>
    <w:bookmarkStart w:id="4" w:name="page5"/>
    <w:bookmarkEnd w:id="4"/>
    <w:p>
      <w:pPr>
        <w:jc w:val="both"/>
        <w:spacing w:after="0" w:line="276" w:lineRule="auto"/>
        <w:rPr>
          <w:sz w:val="20"/>
          <w:szCs w:val="20"/>
          <w:color w:val="auto"/>
        </w:rPr>
      </w:pPr>
      <w:r>
        <w:rPr>
          <w:rFonts w:ascii="Times New Roman" w:cs="Times New Roman" w:eastAsia="Times New Roman" w:hAnsi="Times New Roman"/>
          <w:sz w:val="17"/>
          <w:szCs w:val="17"/>
          <w:color w:val="auto"/>
        </w:rPr>
        <w:t>approval of the Company’s board of directors, to provide the same (or lesser) indemnification and advancement of expenses to any employee or agent of us or a predecessor of us.</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Maryland law requires a corporation (unless its charter provides otherwise, which the Company’s charter does not) to indemnify a director or officer who has been successful in the defense of any proceeding to which he or she is made a party to, or witness in, by reason of his or her service in such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to, or witness in, by reason of their service in those or other capacities, unless it is established that (i) the act or omission of the director or officer was material to the matter giving rise to the proceeding and (A) was committed in bad faith or (B) was the result of active and deliberate dishonesty, (ii) the director or officer actually received an improper personal benefit in money, property or services, or (iii) in the case of any criminal proceeding, the director or officer had reasonable cause to believe that the act or omission was unlawful. A Maryland corporation may not indemnify a director or officer with respect to a proceeding by or in the right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Upon application by one of the Company’s directors or executive officers to a court of appropriate jurisdiction and upon such notice as the court may require, the court may order indemnification of such director or executive officer if:</w:t>
      </w:r>
    </w:p>
    <w:p>
      <w:pPr>
        <w:spacing w:after="0" w:line="142" w:lineRule="exact"/>
        <w:rPr>
          <w:sz w:val="20"/>
          <w:szCs w:val="20"/>
          <w:color w:val="auto"/>
        </w:rPr>
      </w:pPr>
    </w:p>
    <w:p>
      <w:pPr>
        <w:ind w:left="520" w:hanging="260"/>
        <w:spacing w:after="0" w:line="289" w:lineRule="auto"/>
        <w:tabs>
          <w:tab w:leader="none" w:pos="51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court determines that such director or executive officer is entitled to reimbursement for expenses in a matter in which the director has been successful, in which case the director or executive officer shall be entitled to recover from the Company the expenses of securing such indemnification; or</w:t>
      </w:r>
    </w:p>
    <w:p>
      <w:pPr>
        <w:spacing w:after="0" w:line="112" w:lineRule="exact"/>
        <w:rPr>
          <w:rFonts w:ascii="Times New Roman" w:cs="Times New Roman" w:eastAsia="Times New Roman" w:hAnsi="Times New Roman"/>
          <w:sz w:val="17"/>
          <w:szCs w:val="17"/>
          <w:b w:val="1"/>
          <w:bCs w:val="1"/>
          <w:color w:val="auto"/>
        </w:rPr>
      </w:pPr>
    </w:p>
    <w:p>
      <w:pPr>
        <w:jc w:val="both"/>
        <w:ind w:left="520" w:hanging="260"/>
        <w:spacing w:after="0" w:line="255" w:lineRule="auto"/>
        <w:tabs>
          <w:tab w:leader="none" w:pos="51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court determines that such director or executive officer is fairly and reasonably entitled to indemnification in view of all the relevant circumstances, whether or not the director or executive officer has met the standards of conduct for which indemnification is permitted under the Maryland General Corporation Law (the “MGCL”) or has been adjudged liable for receipt of an “improper personal benefit” under the MGCL; provided, however, the Company’s indemnification obligations to such director or executive officer will be limited to the expenses actually and reasonably incurred by him or her, or on his or her behalf, in connection with any proceeding by the Company or in the Company’s right or in which the officer or director shall have been adjudged liable for receipt of an improper personal benefit under Section 2-418(c) of the MGCL.</w:t>
      </w:r>
    </w:p>
    <w:p>
      <w:pPr>
        <w:spacing w:after="0" w:line="144"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7"/>
          <w:szCs w:val="17"/>
          <w:color w:val="auto"/>
        </w:rPr>
        <w:t>In addition, Maryland law permits a corporation to advance reasonable expenses to a director or officer upon the corporation’s receipt of: (i) a written affirmation by the director or officer of his or her good faith belief that he or she has met the standard of conduct necessary for indemnification by the corporation; and (ii) a written undertaking by him or her or on his or her behalf to repay the amount paid or reimbursed by the corporation if it is ultimately determined that he or she did not meet the standard of conduct.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084" w:right="31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each of its directors and executive officers that require it to indemnify such directors and executive officers to the maximum extent permitted by Maryland law and to pay such persons’ expenses in defending any civil or criminal proceeding in advance of final disposition of such proceeding. The indemnification provided under the indemnification agreements are not exclusive of any other indemnity rights.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Act and is therefore unenforceable.</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foregoing is only a general summary of certain aspects of Maryland law and the Company’s charter and bylaws dealing with indemnification of directors and officers, and does not purport to be complete. It is qualified in its entirety by reference to the detailed provisions of Maryland law referenced above and the Company’s charter and bylaws.</w:t>
      </w:r>
    </w:p>
    <w:p>
      <w:pPr>
        <w:spacing w:after="0" w:line="1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addition, the Company’s directors and officers are indemnified for specified liabilities and expenses pursuant to the organizational documents of certain of its subsidiaries.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Not applicable.</w:t>
            </w:r>
          </w:p>
        </w:tc>
        <w:tc>
          <w:tcPr>
            <w:tcW w:w="4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1"/>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Exhibits.</w:t>
            </w:r>
          </w:p>
        </w:tc>
        <w:tc>
          <w:tcPr>
            <w:tcW w:w="4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5"/>
        </w:trPr>
        <w:tc>
          <w:tcPr>
            <w:tcW w:w="17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340" w:type="dxa"/>
            <w:vAlign w:val="bottom"/>
            <w:gridSpan w:val="8"/>
          </w:tcPr>
          <w:p>
            <w:pPr>
              <w:ind w:left="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41"/>
        </w:trPr>
        <w:tc>
          <w:tcPr>
            <w:tcW w:w="172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82"/>
        </w:trPr>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9280" w:type="dxa"/>
            <w:vAlign w:val="bottom"/>
            <w:tcBorders>
              <w:bottom w:val="single" w:sz="8" w:color="0000FF"/>
            </w:tcBorders>
            <w:gridSpan w:val="6"/>
          </w:tcPr>
          <w:p>
            <w:pPr>
              <w:spacing w:after="0" w:line="171" w:lineRule="exact"/>
              <w:rPr>
                <w:rFonts w:ascii="Times New Roman" w:cs="Times New Roman" w:eastAsia="Times New Roman" w:hAnsi="Times New Roman"/>
                <w:sz w:val="17"/>
                <w:szCs w:val="17"/>
                <w:color w:val="0000FF"/>
              </w:rPr>
            </w:pPr>
            <w:hyperlink r:id="rId8">
              <w:r>
                <w:rPr>
                  <w:rFonts w:ascii="Times New Roman" w:cs="Times New Roman" w:eastAsia="Times New Roman" w:hAnsi="Times New Roman"/>
                  <w:sz w:val="17"/>
                  <w:szCs w:val="17"/>
                  <w:color w:val="0000FF"/>
                </w:rPr>
                <w:t>Articles of Amendment and Restatement of BrightSpire Capital, Inc., as amended (incorporated by reference to Exhibit 3.1 to the</w:t>
              </w:r>
            </w:hyperlink>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1720" w:type="dxa"/>
            <w:vAlign w:val="bottom"/>
          </w:tcPr>
          <w:p>
            <w:pPr>
              <w:spacing w:after="0"/>
              <w:rPr>
                <w:sz w:val="15"/>
                <w:szCs w:val="15"/>
                <w:color w:val="auto"/>
              </w:rPr>
            </w:pPr>
          </w:p>
        </w:tc>
        <w:tc>
          <w:tcPr>
            <w:tcW w:w="9340" w:type="dxa"/>
            <w:vAlign w:val="bottom"/>
            <w:gridSpan w:val="8"/>
          </w:tcPr>
          <w:p>
            <w:pPr>
              <w:spacing w:after="0" w:line="181" w:lineRule="exact"/>
              <w:rPr>
                <w:rFonts w:ascii="Times New Roman" w:cs="Times New Roman" w:eastAsia="Times New Roman" w:hAnsi="Times New Roman"/>
                <w:sz w:val="17"/>
                <w:szCs w:val="17"/>
                <w:color w:val="0000FF"/>
              </w:rPr>
            </w:pPr>
            <w:hyperlink r:id="rId8">
              <w:r>
                <w:rPr>
                  <w:rFonts w:ascii="Times New Roman" w:cs="Times New Roman" w:eastAsia="Times New Roman" w:hAnsi="Times New Roman"/>
                  <w:sz w:val="17"/>
                  <w:szCs w:val="17"/>
                  <w:color w:val="0000FF"/>
                </w:rPr>
                <w:t>Company’s Quarterly Report on Form 10-Q (No. 001-38377) for the quarter ended June 30, 2021 filed on August 5, 2021)</w:t>
              </w:r>
            </w:hyperlink>
          </w:p>
        </w:tc>
      </w:tr>
      <w:tr>
        <w:trPr>
          <w:trHeight w:val="20"/>
        </w:trPr>
        <w:tc>
          <w:tcPr>
            <w:tcW w:w="1720" w:type="dxa"/>
            <w:vAlign w:val="bottom"/>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930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9">
              <w:r>
                <w:rPr>
                  <w:rFonts w:ascii="Times New Roman" w:cs="Times New Roman" w:eastAsia="Times New Roman" w:hAnsi="Times New Roman"/>
                  <w:sz w:val="17"/>
                  <w:szCs w:val="17"/>
                  <w:color w:val="0000FF"/>
                </w:rPr>
                <w:t>Fifth Amended and Restated Bylaws of BrightSpire Capital, Inc., as amended (incorporated by reference to Exhibit 3.2 to the</w:t>
              </w:r>
            </w:hyperlink>
          </w:p>
        </w:tc>
        <w:tc>
          <w:tcPr>
            <w:tcW w:w="40" w:type="dxa"/>
            <w:vAlign w:val="bottom"/>
          </w:tcPr>
          <w:p>
            <w:pPr>
              <w:spacing w:after="0"/>
              <w:rPr>
                <w:sz w:val="19"/>
                <w:szCs w:val="19"/>
                <w:color w:val="auto"/>
              </w:rPr>
            </w:pPr>
          </w:p>
        </w:tc>
      </w:tr>
      <w:tr>
        <w:trPr>
          <w:trHeight w:val="182"/>
        </w:trPr>
        <w:tc>
          <w:tcPr>
            <w:tcW w:w="1720" w:type="dxa"/>
            <w:vAlign w:val="bottom"/>
          </w:tcPr>
          <w:p>
            <w:pPr>
              <w:spacing w:after="0"/>
              <w:rPr>
                <w:sz w:val="15"/>
                <w:szCs w:val="15"/>
                <w:color w:val="auto"/>
              </w:rPr>
            </w:pPr>
          </w:p>
        </w:tc>
        <w:tc>
          <w:tcPr>
            <w:tcW w:w="8180" w:type="dxa"/>
            <w:vAlign w:val="bottom"/>
            <w:tcBorders>
              <w:bottom w:val="single" w:sz="8" w:color="0000FF"/>
            </w:tcBorders>
            <w:gridSpan w:val="4"/>
          </w:tcPr>
          <w:p>
            <w:pPr>
              <w:spacing w:after="0" w:line="181" w:lineRule="exact"/>
              <w:rPr>
                <w:rFonts w:ascii="Times New Roman" w:cs="Times New Roman" w:eastAsia="Times New Roman" w:hAnsi="Times New Roman"/>
                <w:sz w:val="17"/>
                <w:szCs w:val="17"/>
                <w:color w:val="0000FF"/>
                <w:w w:val="99"/>
              </w:rPr>
            </w:pPr>
            <w:hyperlink r:id="rId9">
              <w:r>
                <w:rPr>
                  <w:rFonts w:ascii="Times New Roman" w:cs="Times New Roman" w:eastAsia="Times New Roman" w:hAnsi="Times New Roman"/>
                  <w:sz w:val="17"/>
                  <w:szCs w:val="17"/>
                  <w:color w:val="0000FF"/>
                  <w:w w:val="99"/>
                </w:rPr>
                <w:t>Company’s Quarterly Report on Form 10-Q (No.001-38377) for the quarter ended March 31, 2023 filed on May 3, 2023</w:t>
              </w:r>
            </w:hyperlink>
          </w:p>
        </w:tc>
        <w:tc>
          <w:tcPr>
            <w:tcW w:w="1160" w:type="dxa"/>
            <w:vAlign w:val="bottom"/>
            <w:gridSpan w:val="4"/>
          </w:tcPr>
          <w:p>
            <w:pPr>
              <w:spacing w:after="0"/>
              <w:rPr>
                <w:sz w:val="15"/>
                <w:szCs w:val="15"/>
                <w:color w:val="auto"/>
              </w:rPr>
            </w:pPr>
          </w:p>
        </w:tc>
      </w:tr>
      <w:tr>
        <w:trPr>
          <w:trHeight w:val="224"/>
        </w:trPr>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6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Opinion of Venable LLP regarding the validity of the shares of common stock registered hereby</w:t>
            </w:r>
          </w:p>
        </w:tc>
        <w:tc>
          <w:tcPr>
            <w:tcW w:w="2820" w:type="dxa"/>
            <w:vAlign w:val="bottom"/>
            <w:gridSpan w:val="6"/>
          </w:tcPr>
          <w:p>
            <w:pPr>
              <w:spacing w:after="0"/>
              <w:rPr>
                <w:sz w:val="19"/>
                <w:szCs w:val="19"/>
                <w:color w:val="auto"/>
              </w:rPr>
            </w:pPr>
          </w:p>
        </w:tc>
      </w:tr>
      <w:tr>
        <w:trPr>
          <w:trHeight w:val="362"/>
        </w:trPr>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30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10">
              <w:r>
                <w:rPr>
                  <w:rFonts w:ascii="Times New Roman" w:cs="Times New Roman" w:eastAsia="Times New Roman" w:hAnsi="Times New Roman"/>
                  <w:sz w:val="17"/>
                  <w:szCs w:val="17"/>
                  <w:color w:val="0000FF"/>
                </w:rPr>
                <w:t>BrightSpire Capital, Inc. 2022 Equity Incentive Plan, dated May 5, 2022 (incorporated by reference to Exhibit 10.1 to the Company's</w:t>
              </w:r>
            </w:hyperlink>
          </w:p>
        </w:tc>
        <w:tc>
          <w:tcPr>
            <w:tcW w:w="40" w:type="dxa"/>
            <w:vAlign w:val="bottom"/>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4660" w:type="dxa"/>
            <w:vAlign w:val="bottom"/>
            <w:tcBorders>
              <w:bottom w:val="single" w:sz="8" w:color="0000FF"/>
            </w:tcBorders>
          </w:tcPr>
          <w:p>
            <w:pPr>
              <w:spacing w:after="0" w:line="181" w:lineRule="exact"/>
              <w:rPr>
                <w:rFonts w:ascii="Times New Roman" w:cs="Times New Roman" w:eastAsia="Times New Roman" w:hAnsi="Times New Roman"/>
                <w:sz w:val="17"/>
                <w:szCs w:val="17"/>
                <w:color w:val="0000FF"/>
                <w:w w:val="99"/>
              </w:rPr>
            </w:pPr>
            <w:hyperlink r:id="rId10">
              <w:r>
                <w:rPr>
                  <w:rFonts w:ascii="Times New Roman" w:cs="Times New Roman" w:eastAsia="Times New Roman" w:hAnsi="Times New Roman"/>
                  <w:sz w:val="17"/>
                  <w:szCs w:val="17"/>
                  <w:color w:val="0000FF"/>
                  <w:w w:val="99"/>
                </w:rPr>
                <w:t>Current Report on Form 8-K (No. 001-38377) filed on May 5, 2022)</w:t>
              </w:r>
            </w:hyperlink>
          </w:p>
        </w:tc>
        <w:tc>
          <w:tcPr>
            <w:tcW w:w="4680" w:type="dxa"/>
            <w:vAlign w:val="bottom"/>
            <w:gridSpan w:val="7"/>
          </w:tcPr>
          <w:p>
            <w:pPr>
              <w:spacing w:after="0"/>
              <w:rPr>
                <w:sz w:val="15"/>
                <w:szCs w:val="15"/>
                <w:color w:val="auto"/>
              </w:rPr>
            </w:pPr>
          </w:p>
        </w:tc>
      </w:tr>
      <w:tr>
        <w:trPr>
          <w:trHeight w:val="298"/>
        </w:trPr>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928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1">
              <w:r>
                <w:rPr>
                  <w:rFonts w:ascii="Times New Roman" w:cs="Times New Roman" w:eastAsia="Times New Roman" w:hAnsi="Times New Roman"/>
                  <w:sz w:val="17"/>
                  <w:szCs w:val="17"/>
                  <w:color w:val="0000FF"/>
                </w:rPr>
                <w:t>First Amendment to the BrightSpire Capital, Inc. 2022 Equity Incentive Plan, dated as of February 21, 2024 (incorporated by reference</w:t>
              </w:r>
            </w:hyperlink>
          </w:p>
        </w:tc>
        <w:tc>
          <w:tcPr>
            <w:tcW w:w="60" w:type="dxa"/>
            <w:vAlign w:val="bottom"/>
            <w:gridSpan w:val="2"/>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9340" w:type="dxa"/>
            <w:vAlign w:val="bottom"/>
            <w:gridSpan w:val="8"/>
          </w:tcPr>
          <w:p>
            <w:pPr>
              <w:spacing w:after="0" w:line="181" w:lineRule="exact"/>
              <w:rPr>
                <w:rFonts w:ascii="Times New Roman" w:cs="Times New Roman" w:eastAsia="Times New Roman" w:hAnsi="Times New Roman"/>
                <w:sz w:val="17"/>
                <w:szCs w:val="17"/>
                <w:color w:val="0000FF"/>
              </w:rPr>
            </w:pPr>
            <w:hyperlink r:id="rId11">
              <w:r>
                <w:rPr>
                  <w:rFonts w:ascii="Times New Roman" w:cs="Times New Roman" w:eastAsia="Times New Roman" w:hAnsi="Times New Roman"/>
                  <w:sz w:val="17"/>
                  <w:szCs w:val="17"/>
                  <w:color w:val="0000FF"/>
                </w:rPr>
                <w:t>to Exhibit 10.7 to the Company’s Annual Report on Form 10-K (No. 001-38377) filed on February 21, 2024)</w:t>
              </w:r>
            </w:hyperlink>
          </w:p>
        </w:tc>
      </w:tr>
      <w:tr>
        <w:trPr>
          <w:trHeight w:val="868"/>
        </w:trPr>
        <w:tc>
          <w:tcPr>
            <w:tcW w:w="1720" w:type="dxa"/>
            <w:vAlign w:val="bottom"/>
          </w:tcPr>
          <w:p>
            <w:pPr>
              <w:spacing w:after="0"/>
              <w:rPr>
                <w:sz w:val="24"/>
                <w:szCs w:val="24"/>
                <w:color w:val="auto"/>
              </w:rPr>
            </w:pPr>
          </w:p>
        </w:tc>
        <w:tc>
          <w:tcPr>
            <w:tcW w:w="4660" w:type="dxa"/>
            <w:vAlign w:val="bottom"/>
            <w:tcBorders>
              <w:top w:val="single" w:sz="8" w:color="0000FF"/>
            </w:tcBorders>
          </w:tcPr>
          <w:p>
            <w:pPr>
              <w:ind w:left="3880"/>
              <w:spacing w:after="0"/>
              <w:rPr>
                <w:sz w:val="20"/>
                <w:szCs w:val="20"/>
                <w:color w:val="auto"/>
              </w:rPr>
            </w:pPr>
            <w:r>
              <w:rPr>
                <w:rFonts w:ascii="Times New Roman" w:cs="Times New Roman" w:eastAsia="Times New Roman" w:hAnsi="Times New Roman"/>
                <w:sz w:val="17"/>
                <w:szCs w:val="17"/>
                <w:color w:val="auto"/>
              </w:rPr>
              <w:t>4</w:t>
            </w:r>
          </w:p>
        </w:tc>
        <w:tc>
          <w:tcPr>
            <w:tcW w:w="18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80"/>
          </w:cols>
          <w:pgMar w:left="300" w:top="1084" w:right="319" w:bottom="1440" w:gutter="0" w:footer="0" w:header="0"/>
        </w:sectPr>
      </w:pPr>
    </w:p>
    <w:bookmarkStart w:id="6" w:name="page7"/>
    <w:bookmarkEnd w:id="6"/>
    <w:p>
      <w:pPr>
        <w:ind w:left="1720" w:right="240" w:hanging="1010"/>
        <w:spacing w:after="0" w:line="276" w:lineRule="auto"/>
        <w:tabs>
          <w:tab w:leader="none" w:pos="1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w:t>
      </w:r>
      <w:r>
        <w:rPr>
          <w:sz w:val="20"/>
          <w:szCs w:val="20"/>
          <w:color w:val="auto"/>
        </w:rPr>
        <w:tab/>
      </w:r>
      <w:hyperlink r:id="rId12">
        <w:r>
          <w:rPr>
            <w:rFonts w:ascii="Times New Roman" w:cs="Times New Roman" w:eastAsia="Times New Roman" w:hAnsi="Times New Roman"/>
            <w:sz w:val="17"/>
            <w:szCs w:val="17"/>
            <w:u w:val="single" w:color="auto"/>
            <w:color w:val="0000FF"/>
          </w:rPr>
          <w:t>Second Amendment to The BrightSpire Capital, Inc. 2022 Equity Incentive Plan, effective as of May 13, 2026 (incorporated by</w:t>
        </w:r>
      </w:hyperlink>
      <w:r>
        <w:rPr>
          <w:rFonts w:ascii="Times New Roman" w:cs="Times New Roman" w:eastAsia="Times New Roman" w:hAnsi="Times New Roman"/>
          <w:sz w:val="17"/>
          <w:szCs w:val="17"/>
          <w:u w:val="single" w:color="auto"/>
          <w:color w:val="0000FF"/>
        </w:rPr>
        <w:t xml:space="preserve"> </w:t>
      </w:r>
      <w:hyperlink r:id="rId12">
        <w:r>
          <w:rPr>
            <w:rFonts w:ascii="Times New Roman" w:cs="Times New Roman" w:eastAsia="Times New Roman" w:hAnsi="Times New Roman"/>
            <w:sz w:val="17"/>
            <w:szCs w:val="17"/>
            <w:u w:val="single" w:color="auto"/>
            <w:color w:val="0000FF"/>
          </w:rPr>
          <w:t>reference to Exhibit 10.1 to the Company’s Current Report on Form 8-K (File No. 011-38377), filed on May 13, 2026</w:t>
        </w:r>
      </w:hyperlink>
    </w:p>
    <w:p>
      <w:pPr>
        <w:sectPr>
          <w:pgSz w:w="11900" w:h="16838" w:orient="portrait"/>
          <w:cols w:equalWidth="0" w:num="1">
            <w:col w:w="11280"/>
          </w:cols>
          <w:pgMar w:left="300" w:top="1127" w:right="319" w:bottom="1440" w:gutter="0" w:footer="0" w:header="0"/>
        </w:sectPr>
      </w:pPr>
    </w:p>
    <w:p>
      <w:pPr>
        <w:spacing w:after="0" w:line="12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23.1*</w:t>
      </w:r>
    </w:p>
    <w:p>
      <w:pPr>
        <w:spacing w:after="0" w:line="186"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23.2*</w:t>
      </w:r>
    </w:p>
    <w:p>
      <w:pPr>
        <w:spacing w:after="0" w:line="186"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23.3*</w:t>
      </w:r>
    </w:p>
    <w:p>
      <w:pPr>
        <w:spacing w:after="0" w:line="186"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color w:val="auto"/>
        </w:rPr>
        <w:t>24.1</w:t>
      </w:r>
    </w:p>
    <w:p>
      <w:pPr>
        <w:spacing w:after="0" w:line="186"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7"/>
          <w:szCs w:val="17"/>
          <w:color w:val="auto"/>
        </w:rPr>
        <w:t>107*</w:t>
      </w:r>
    </w:p>
    <w:p>
      <w:pPr>
        <w:spacing w:after="0" w:line="22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*Filed herewith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Undertakings.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Venable LLP (included in Exhibit 5.1)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Deloitte &amp; Touche LLP, independent registered public accounting firm for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Ernst &amp; Young LLP, former independent registered public accounting firm for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Power of Attorney (included on signature page 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Filing Fee Table</w:t>
      </w:r>
    </w:p>
    <w:p>
      <w:pPr>
        <w:spacing w:after="0" w:line="1003" w:lineRule="exact"/>
        <w:rPr>
          <w:sz w:val="20"/>
          <w:szCs w:val="20"/>
          <w:color w:val="auto"/>
        </w:rPr>
      </w:pPr>
    </w:p>
    <w:p>
      <w:pPr>
        <w:sectPr>
          <w:pgSz w:w="11900" w:h="16838" w:orient="portrait"/>
          <w:cols w:equalWidth="0" w:num="2">
            <w:col w:w="1580" w:space="140"/>
            <w:col w:w="9560"/>
          </w:cols>
          <w:pgMar w:left="300" w:top="112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w:t>
      </w:r>
    </w:p>
    <w:p>
      <w:pPr>
        <w:spacing w:after="0" w:line="176" w:lineRule="exact"/>
        <w:rPr>
          <w:sz w:val="20"/>
          <w:szCs w:val="20"/>
          <w:color w:val="auto"/>
        </w:rPr>
      </w:pPr>
    </w:p>
    <w:p>
      <w:pPr>
        <w:ind w:left="1380" w:hanging="357"/>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86" w:lineRule="exact"/>
        <w:rPr>
          <w:rFonts w:ascii="Times New Roman" w:cs="Times New Roman" w:eastAsia="Times New Roman" w:hAnsi="Times New Roman"/>
          <w:sz w:val="17"/>
          <w:szCs w:val="17"/>
          <w:color w:val="auto"/>
        </w:rPr>
      </w:pPr>
    </w:p>
    <w:p>
      <w:pPr>
        <w:ind w:left="1860" w:hanging="327"/>
        <w:spacing w:after="0"/>
        <w:tabs>
          <w:tab w:leader="none" w:pos="18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75" w:lineRule="exact"/>
        <w:rPr>
          <w:rFonts w:ascii="Times New Roman" w:cs="Times New Roman" w:eastAsia="Times New Roman" w:hAnsi="Times New Roman"/>
          <w:sz w:val="17"/>
          <w:szCs w:val="17"/>
          <w:color w:val="auto"/>
        </w:rPr>
      </w:pPr>
    </w:p>
    <w:p>
      <w:pPr>
        <w:jc w:val="both"/>
        <w:ind w:left="2040" w:hanging="507"/>
        <w:spacing w:after="0" w:line="254" w:lineRule="auto"/>
        <w:tabs>
          <w:tab w:leader="none" w:pos="1993"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43" w:lineRule="exact"/>
        <w:rPr>
          <w:rFonts w:ascii="Times New Roman" w:cs="Times New Roman" w:eastAsia="Times New Roman" w:hAnsi="Times New Roman"/>
          <w:sz w:val="17"/>
          <w:szCs w:val="17"/>
          <w:color w:val="auto"/>
        </w:rPr>
      </w:pPr>
    </w:p>
    <w:p>
      <w:pPr>
        <w:jc w:val="both"/>
        <w:ind w:left="2040" w:hanging="507"/>
        <w:spacing w:after="0" w:line="262" w:lineRule="auto"/>
        <w:tabs>
          <w:tab w:leader="none" w:pos="198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7" w:right="319" w:bottom="1440" w:gutter="0" w:footer="0" w:header="0"/>
          <w:type w:val="continuous"/>
        </w:sectPr>
      </w:pPr>
    </w:p>
    <w:bookmarkStart w:id="7" w:name="page8"/>
    <w:bookmarkEnd w:id="7"/>
    <w:p>
      <w:pPr>
        <w:jc w:val="both"/>
        <w:ind w:left="1526"/>
        <w:spacing w:after="0" w:line="262" w:lineRule="auto"/>
        <w:rPr>
          <w:sz w:val="20"/>
          <w:szCs w:val="20"/>
          <w:color w:val="auto"/>
        </w:rPr>
      </w:pPr>
      <w:r>
        <w:rPr>
          <w:rFonts w:ascii="Times New Roman" w:cs="Times New Roman" w:eastAsia="Times New Roman" w:hAnsi="Times New Roman"/>
          <w:sz w:val="17"/>
          <w:szCs w:val="17"/>
          <w:color w:val="auto"/>
        </w:rPr>
        <w:t>be included in a post-effective amendment by those paragraphs is contained in reports filed with or furnished to the Commission by the registrant pursuant to section 13 or section 15(d) of the Securities Exchange Act of 1934 ( 15 U.S.C. 78m or 78o(d)) that are incorporated by reference in the registration statement.</w:t>
      </w:r>
    </w:p>
    <w:p>
      <w:pPr>
        <w:spacing w:after="0" w:line="145" w:lineRule="exact"/>
        <w:rPr>
          <w:sz w:val="20"/>
          <w:szCs w:val="20"/>
          <w:color w:val="auto"/>
        </w:rPr>
      </w:pPr>
    </w:p>
    <w:p>
      <w:pPr>
        <w:ind w:left="1026" w:hanging="517"/>
        <w:spacing w:after="0" w:line="262" w:lineRule="auto"/>
        <w:tabs>
          <w:tab w:leader="none" w:pos="90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4" w:lineRule="exact"/>
        <w:rPr>
          <w:rFonts w:ascii="Times New Roman" w:cs="Times New Roman" w:eastAsia="Times New Roman" w:hAnsi="Times New Roman"/>
          <w:sz w:val="17"/>
          <w:szCs w:val="17"/>
          <w:color w:val="auto"/>
        </w:rPr>
      </w:pPr>
    </w:p>
    <w:p>
      <w:pPr>
        <w:ind w:left="1026" w:hanging="517"/>
        <w:spacing w:after="0" w:line="276" w:lineRule="auto"/>
        <w:tabs>
          <w:tab w:leader="none" w:pos="1009"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33" w:lineRule="exact"/>
        <w:rPr>
          <w:rFonts w:ascii="Times New Roman" w:cs="Times New Roman" w:eastAsia="Times New Roman" w:hAnsi="Times New Roman"/>
          <w:sz w:val="17"/>
          <w:szCs w:val="17"/>
          <w:color w:val="auto"/>
        </w:rPr>
      </w:pPr>
    </w:p>
    <w:p>
      <w:pPr>
        <w:ind w:left="1026" w:hanging="517"/>
        <w:spacing w:after="0" w:line="254" w:lineRule="auto"/>
        <w:tabs>
          <w:tab w:leader="none" w:pos="90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3" w:lineRule="exact"/>
        <w:rPr>
          <w:rFonts w:ascii="Times New Roman" w:cs="Times New Roman" w:eastAsia="Times New Roman" w:hAnsi="Times New Roman"/>
          <w:sz w:val="17"/>
          <w:szCs w:val="17"/>
          <w:color w:val="auto"/>
        </w:rPr>
      </w:pPr>
    </w:p>
    <w:p>
      <w:pPr>
        <w:ind w:left="1346" w:hanging="327"/>
        <w:spacing w:after="0"/>
        <w:tabs>
          <w:tab w:leader="none" w:pos="1346"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86" w:lineRule="exact"/>
        <w:rPr>
          <w:rFonts w:ascii="Times New Roman" w:cs="Times New Roman" w:eastAsia="Times New Roman" w:hAnsi="Times New Roman"/>
          <w:sz w:val="17"/>
          <w:szCs w:val="17"/>
          <w:color w:val="auto"/>
        </w:rPr>
      </w:pPr>
    </w:p>
    <w:p>
      <w:pPr>
        <w:ind w:left="1526" w:hanging="507"/>
        <w:spacing w:after="0" w:line="276" w:lineRule="auto"/>
        <w:tabs>
          <w:tab w:leader="none" w:pos="1439"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23" w:lineRule="exact"/>
        <w:rPr>
          <w:rFonts w:ascii="Times New Roman" w:cs="Times New Roman" w:eastAsia="Times New Roman" w:hAnsi="Times New Roman"/>
          <w:sz w:val="17"/>
          <w:szCs w:val="17"/>
          <w:color w:val="auto"/>
        </w:rPr>
      </w:pPr>
    </w:p>
    <w:p>
      <w:pPr>
        <w:ind w:left="1526" w:hanging="507"/>
        <w:spacing w:after="0" w:line="276" w:lineRule="auto"/>
        <w:tabs>
          <w:tab w:leader="none" w:pos="1462"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3" w:lineRule="exact"/>
        <w:rPr>
          <w:rFonts w:ascii="Times New Roman" w:cs="Times New Roman" w:eastAsia="Times New Roman" w:hAnsi="Times New Roman"/>
          <w:sz w:val="17"/>
          <w:szCs w:val="17"/>
          <w:color w:val="auto"/>
        </w:rPr>
      </w:pPr>
    </w:p>
    <w:p>
      <w:pPr>
        <w:ind w:left="1426" w:hanging="407"/>
        <w:spacing w:after="0"/>
        <w:tabs>
          <w:tab w:leader="none" w:pos="1426"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86" w:lineRule="exact"/>
        <w:rPr>
          <w:rFonts w:ascii="Times New Roman" w:cs="Times New Roman" w:eastAsia="Times New Roman" w:hAnsi="Times New Roman"/>
          <w:sz w:val="17"/>
          <w:szCs w:val="17"/>
          <w:color w:val="auto"/>
        </w:rPr>
      </w:pPr>
    </w:p>
    <w:p>
      <w:pPr>
        <w:jc w:val="both"/>
        <w:ind w:left="506" w:hanging="506"/>
        <w:spacing w:after="0" w:line="262" w:lineRule="auto"/>
        <w:tabs>
          <w:tab w:leader="none" w:pos="47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66"/>
          </w:cols>
          <w:pgMar w:left="814" w:top="1084" w:right="319" w:bottom="1440" w:gutter="0" w:footer="0" w:header="0"/>
        </w:sectPr>
      </w:pPr>
    </w:p>
    <w:bookmarkStart w:id="8" w:name="page9"/>
    <w:bookmarkEnd w:id="8"/>
    <w:p>
      <w:pPr>
        <w:ind w:left="506"/>
        <w:spacing w:after="0" w:line="276" w:lineRule="auto"/>
        <w:rPr>
          <w:sz w:val="20"/>
          <w:szCs w:val="20"/>
          <w:color w:val="auto"/>
        </w:rPr>
      </w:pPr>
      <w:r>
        <w:rPr>
          <w:rFonts w:ascii="Times New Roman" w:cs="Times New Roman" w:eastAsia="Times New Roman" w:hAnsi="Times New Roman"/>
          <w:sz w:val="17"/>
          <w:szCs w:val="17"/>
          <w:color w:val="auto"/>
        </w:rPr>
        <w:t>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3" w:lineRule="exact"/>
        <w:rPr>
          <w:sz w:val="20"/>
          <w:szCs w:val="20"/>
          <w:color w:val="auto"/>
        </w:rPr>
      </w:pPr>
    </w:p>
    <w:p>
      <w:pPr>
        <w:ind w:left="506" w:hanging="506"/>
        <w:spacing w:after="0" w:line="255" w:lineRule="auto"/>
        <w:tabs>
          <w:tab w:leader="none" w:pos="44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or persons controlling the registrant pursuant to the foregoing provisions, or otherwise, the registrant has been informed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766"/>
          </w:cols>
          <w:pgMar w:left="814" w:top="108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18, 2026.</w:t>
      </w:r>
    </w:p>
    <w:p>
      <w:pPr>
        <w:spacing w:after="0" w:line="13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BRIGHTSPIRE CAPITAL, INC.</w:t>
      </w:r>
    </w:p>
    <w:p>
      <w:pPr>
        <w:spacing w:after="0" w:line="34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Frank V. Saracino</w:t>
      </w:r>
    </w:p>
    <w:p>
      <w:pPr>
        <w:spacing w:after="0" w:line="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Name: Frank V. Saracino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280"/>
          </w:cols>
          <w:pgMar w:left="300" w:top="1080"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Each person whose signature appears below hereby constitutes and appoints Michael J. Mazzei, Frank V. Saracino, and David A. Palamé, and each of them severally, as her or his attorneys-in-fact and agent, with full power of substitution and resubstitution, for her or him in any and all capacities, in connection with this Registration Statement on Form S-8 (the “Registration Statement”) of BrightSpire Capital, Inc. (the “Company”), under the Securities Act of 1933, as amended (the “Securities Act”) relating to the BrightSpire Capital, Inc. 2022 Equity Incentive Plan, including, without limiting the generality of the foregoing, to sign any amendments and supplements relating to the Registration Statement (including post-effective amendments) under the Securities Act and to sign any instrument, contract, document or other writing of or in connection with any amendments and supplements relating to the Registration Statement (including post-effective amendments)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each acting alone, or her or his substitute or substitutes, may lawfully do or cause to be done by virtue hereof.</w:t>
      </w:r>
    </w:p>
    <w:p>
      <w:pPr>
        <w:spacing w:after="0" w:line="1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80" w:type="dxa"/>
            <w:vAlign w:val="bottom"/>
          </w:tcPr>
          <w:p>
            <w:pPr>
              <w:spacing w:after="0"/>
              <w:rPr>
                <w:sz w:val="19"/>
                <w:szCs w:val="19"/>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84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391"/>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Michael J. Mazzei</w:t>
            </w:r>
          </w:p>
        </w:tc>
        <w:tc>
          <w:tcPr>
            <w:tcW w:w="80" w:type="dxa"/>
            <w:vAlign w:val="bottom"/>
          </w:tcPr>
          <w:p>
            <w:pPr>
              <w:spacing w:after="0"/>
              <w:rPr>
                <w:sz w:val="24"/>
                <w:szCs w:val="24"/>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Chief Executive Officer and Director</w:t>
            </w: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18, 2026</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2"/>
        </w:trPr>
        <w:tc>
          <w:tcPr>
            <w:tcW w:w="3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Michael J. Mazzei</w:t>
            </w:r>
          </w:p>
        </w:tc>
        <w:tc>
          <w:tcPr>
            <w:tcW w:w="8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(Principal Executive Officer)</w:t>
            </w:r>
          </w:p>
        </w:tc>
        <w:tc>
          <w:tcPr>
            <w:tcW w:w="1840" w:type="dxa"/>
            <w:vAlign w:val="bottom"/>
          </w:tcPr>
          <w:p>
            <w:pPr>
              <w:spacing w:after="0"/>
              <w:rPr>
                <w:sz w:val="20"/>
                <w:szCs w:val="20"/>
                <w:color w:val="auto"/>
              </w:rPr>
            </w:pPr>
          </w:p>
        </w:tc>
      </w:tr>
      <w:tr>
        <w:trPr>
          <w:trHeight w:val="50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Frank V. Saracino</w:t>
            </w:r>
          </w:p>
        </w:tc>
        <w:tc>
          <w:tcPr>
            <w:tcW w:w="80" w:type="dxa"/>
            <w:vAlign w:val="bottom"/>
          </w:tcPr>
          <w:p>
            <w:pPr>
              <w:spacing w:after="0"/>
              <w:rPr>
                <w:sz w:val="24"/>
                <w:szCs w:val="24"/>
                <w:color w:val="auto"/>
              </w:rPr>
            </w:pPr>
          </w:p>
        </w:tc>
        <w:tc>
          <w:tcPr>
            <w:tcW w:w="57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18, 2026</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2"/>
        </w:trPr>
        <w:tc>
          <w:tcPr>
            <w:tcW w:w="3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Frank V. Saracino</w:t>
            </w:r>
          </w:p>
        </w:tc>
        <w:tc>
          <w:tcPr>
            <w:tcW w:w="8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(Principal Financial Officer and Principal Accounting Officer)</w:t>
            </w:r>
          </w:p>
        </w:tc>
        <w:tc>
          <w:tcPr>
            <w:tcW w:w="1840" w:type="dxa"/>
            <w:vAlign w:val="bottom"/>
          </w:tcPr>
          <w:p>
            <w:pPr>
              <w:spacing w:after="0"/>
              <w:rPr>
                <w:sz w:val="20"/>
                <w:szCs w:val="20"/>
                <w:color w:val="auto"/>
              </w:rPr>
            </w:pPr>
          </w:p>
        </w:tc>
      </w:tr>
      <w:tr>
        <w:trPr>
          <w:trHeight w:val="50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Catherine D. Rice</w:t>
            </w:r>
          </w:p>
        </w:tc>
        <w:tc>
          <w:tcPr>
            <w:tcW w:w="80" w:type="dxa"/>
            <w:vAlign w:val="bottom"/>
          </w:tcPr>
          <w:p>
            <w:pPr>
              <w:spacing w:after="0"/>
              <w:rPr>
                <w:sz w:val="24"/>
                <w:szCs w:val="24"/>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18, 2026</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2"/>
        </w:trPr>
        <w:tc>
          <w:tcPr>
            <w:tcW w:w="3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Catherine D. Rice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0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Kim S. Diamond</w:t>
            </w:r>
          </w:p>
        </w:tc>
        <w:tc>
          <w:tcPr>
            <w:tcW w:w="80" w:type="dxa"/>
            <w:vAlign w:val="bottom"/>
          </w:tcPr>
          <w:p>
            <w:pPr>
              <w:spacing w:after="0"/>
              <w:rPr>
                <w:sz w:val="24"/>
                <w:szCs w:val="24"/>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18, 2026</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2"/>
        </w:trPr>
        <w:tc>
          <w:tcPr>
            <w:tcW w:w="3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Kim S. Diamond</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0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Catherine F. Long</w:t>
            </w:r>
          </w:p>
        </w:tc>
        <w:tc>
          <w:tcPr>
            <w:tcW w:w="80" w:type="dxa"/>
            <w:vAlign w:val="bottom"/>
          </w:tcPr>
          <w:p>
            <w:pPr>
              <w:spacing w:after="0"/>
              <w:rPr>
                <w:sz w:val="24"/>
                <w:szCs w:val="24"/>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18, 2026</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2"/>
        </w:trPr>
        <w:tc>
          <w:tcPr>
            <w:tcW w:w="3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Catherine F. Long</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0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Vernon B. Schwartz</w:t>
            </w:r>
          </w:p>
        </w:tc>
        <w:tc>
          <w:tcPr>
            <w:tcW w:w="80" w:type="dxa"/>
            <w:vAlign w:val="bottom"/>
          </w:tcPr>
          <w:p>
            <w:pPr>
              <w:spacing w:after="0"/>
              <w:rPr>
                <w:sz w:val="24"/>
                <w:szCs w:val="24"/>
                <w:color w:val="auto"/>
              </w:rPr>
            </w:pPr>
          </w:p>
        </w:tc>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18, 2026</w:t>
            </w:r>
          </w:p>
        </w:tc>
      </w:tr>
      <w:tr>
        <w:trPr>
          <w:trHeight w:val="141"/>
        </w:trPr>
        <w:tc>
          <w:tcPr>
            <w:tcW w:w="3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2"/>
        </w:trPr>
        <w:tc>
          <w:tcPr>
            <w:tcW w:w="3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Vernon B. Schwartz</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ectPr>
          <w:pgSz w:w="11900" w:h="16838" w:orient="portrait"/>
          <w:cols w:equalWidth="0" w:num="1">
            <w:col w:w="11280"/>
          </w:cols>
          <w:pgMar w:left="300" w:top="1080" w:right="319" w:bottom="1440" w:gutter="0" w:footer="0" w:header="0"/>
        </w:sectPr>
      </w:pPr>
    </w:p>
    <w:bookmarkStart w:id="11" w:name="page12"/>
    <w:bookmarkEnd w:id="11"/>
    <w:p>
      <w:pPr>
        <w:ind w:left="1056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CALCULATION OF FILING FEE TABLE</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S-8</w:t>
      </w:r>
    </w:p>
    <w:p>
      <w:pPr>
        <w:jc w:val="center"/>
        <w:ind w:right="20"/>
        <w:spacing w:after="0"/>
        <w:rPr>
          <w:sz w:val="20"/>
          <w:szCs w:val="20"/>
          <w:color w:val="auto"/>
        </w:rPr>
      </w:pPr>
      <w:r>
        <w:rPr>
          <w:rFonts w:ascii="Times New Roman" w:cs="Times New Roman" w:eastAsia="Times New Roman" w:hAnsi="Times New Roman"/>
          <w:sz w:val="14"/>
          <w:szCs w:val="14"/>
          <w:color w:val="auto"/>
        </w:rPr>
        <w:t>(Form Type)</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BrightSpire Capital,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u w:val="single" w:color="auto"/>
          <w:color w:val="auto"/>
        </w:rPr>
        <w:t>Table 1: Newly Registered Securities</w:t>
      </w:r>
    </w:p>
    <w:p>
      <w:pPr>
        <w:spacing w:after="0" w:line="39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Security Type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Fee Calculation Rule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Registered (1)</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Maximum Aggregate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 Registration</w:t>
            </w:r>
          </w:p>
        </w:tc>
        <w:tc>
          <w:tcPr>
            <w:tcW w:w="0" w:type="dxa"/>
            <w:vAlign w:val="bottom"/>
          </w:tcPr>
          <w:p>
            <w:pPr>
              <w:spacing w:after="0"/>
              <w:rPr>
                <w:sz w:val="1"/>
                <w:szCs w:val="1"/>
                <w:color w:val="auto"/>
              </w:rPr>
            </w:pPr>
          </w:p>
        </w:tc>
      </w:tr>
      <w:tr>
        <w:trPr>
          <w:trHeight w:val="202"/>
        </w:trPr>
        <w:tc>
          <w:tcPr>
            <w:tcW w:w="142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 Per Unit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Offering Price</w:t>
            </w:r>
          </w:p>
        </w:tc>
        <w:tc>
          <w:tcPr>
            <w:tcW w:w="14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0" w:type="dxa"/>
            <w:vAlign w:val="bottom"/>
          </w:tcPr>
          <w:p>
            <w:pPr>
              <w:spacing w:after="0"/>
              <w:rPr>
                <w:sz w:val="1"/>
                <w:szCs w:val="1"/>
                <w:color w:val="auto"/>
              </w:rPr>
            </w:pPr>
          </w:p>
        </w:tc>
      </w:tr>
      <w:tr>
        <w:trPr>
          <w:trHeight w:val="212"/>
        </w:trPr>
        <w:tc>
          <w:tcPr>
            <w:tcW w:w="14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w:t>
            </w:r>
          </w:p>
        </w:tc>
        <w:tc>
          <w:tcPr>
            <w:tcW w:w="14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420" w:type="dxa"/>
            <w:vAlign w:val="bottom"/>
            <w:tcBorders>
              <w:left w:val="single" w:sz="8" w:color="auto"/>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457(c) and 457(h)</w:t>
            </w:r>
          </w:p>
        </w:tc>
        <w:tc>
          <w:tcPr>
            <w:tcW w:w="142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10,000,000.00</w:t>
            </w:r>
          </w:p>
        </w:tc>
        <w:tc>
          <w:tcPr>
            <w:tcW w:w="1400" w:type="dxa"/>
            <w:vAlign w:val="bottom"/>
            <w:tcBorders>
              <w:right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$5.75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$57,500,000</w:t>
            </w:r>
          </w:p>
        </w:tc>
        <w:tc>
          <w:tcPr>
            <w:tcW w:w="1420" w:type="dxa"/>
            <w:vAlign w:val="bottom"/>
            <w:tcBorders>
              <w:right w:val="single" w:sz="8" w:color="auto"/>
            </w:tcBorders>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0.00013810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$7,940.75</w:t>
            </w:r>
          </w:p>
        </w:tc>
        <w:tc>
          <w:tcPr>
            <w:tcW w:w="0" w:type="dxa"/>
            <w:vAlign w:val="bottom"/>
          </w:tcPr>
          <w:p>
            <w:pPr>
              <w:spacing w:after="0"/>
              <w:rPr>
                <w:sz w:val="1"/>
                <w:szCs w:val="1"/>
                <w:color w:val="auto"/>
              </w:rPr>
            </w:pPr>
          </w:p>
        </w:tc>
      </w:tr>
      <w:tr>
        <w:trPr>
          <w:trHeight w:val="60"/>
        </w:trPr>
        <w:tc>
          <w:tcPr>
            <w:tcW w:w="1420" w:type="dxa"/>
            <w:vAlign w:val="bottom"/>
            <w:tcBorders>
              <w:left w:val="single" w:sz="8" w:color="auto"/>
              <w:right w:val="single" w:sz="8" w:color="auto"/>
            </w:tcBorders>
            <w:vMerge w:val="continue"/>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420" w:type="dxa"/>
            <w:vAlign w:val="bottom"/>
            <w:tcBorders>
              <w:left w:val="single" w:sz="8" w:color="auto"/>
            </w:tcBorders>
          </w:tcPr>
          <w:p>
            <w:pPr>
              <w:spacing w:after="0"/>
              <w:rPr>
                <w:sz w:val="15"/>
                <w:szCs w:val="15"/>
                <w:color w:val="auto"/>
              </w:rPr>
            </w:pPr>
          </w:p>
        </w:tc>
        <w:tc>
          <w:tcPr>
            <w:tcW w:w="2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Total Offering Amounts</w:t>
            </w:r>
          </w:p>
        </w:tc>
        <w:tc>
          <w:tcPr>
            <w:tcW w:w="14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$57,500,000</w:t>
            </w:r>
          </w:p>
        </w:tc>
        <w:tc>
          <w:tcPr>
            <w:tcW w:w="14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$7,940.75</w:t>
            </w:r>
          </w:p>
        </w:tc>
        <w:tc>
          <w:tcPr>
            <w:tcW w:w="0" w:type="dxa"/>
            <w:vAlign w:val="bottom"/>
          </w:tcPr>
          <w:p>
            <w:pPr>
              <w:spacing w:after="0"/>
              <w:rPr>
                <w:sz w:val="1"/>
                <w:szCs w:val="1"/>
                <w:color w:val="auto"/>
              </w:rPr>
            </w:pPr>
          </w:p>
        </w:tc>
      </w:tr>
      <w:tr>
        <w:trPr>
          <w:trHeight w:val="60"/>
        </w:trPr>
        <w:tc>
          <w:tcPr>
            <w:tcW w:w="1420" w:type="dxa"/>
            <w:vAlign w:val="bottom"/>
            <w:tcBorders>
              <w:left w:val="single" w:sz="8" w:color="auto"/>
            </w:tcBorders>
          </w:tcPr>
          <w:p>
            <w:pPr>
              <w:spacing w:after="0"/>
              <w:rPr>
                <w:sz w:val="5"/>
                <w:szCs w:val="5"/>
                <w:color w:val="auto"/>
              </w:rPr>
            </w:pPr>
          </w:p>
        </w:tc>
        <w:tc>
          <w:tcPr>
            <w:tcW w:w="2820" w:type="dxa"/>
            <w:vAlign w:val="bottom"/>
            <w:gridSpan w:val="2"/>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4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420" w:type="dxa"/>
            <w:vAlign w:val="bottom"/>
            <w:tcBorders>
              <w:left w:val="single" w:sz="8" w:color="auto"/>
            </w:tcBorders>
          </w:tcPr>
          <w:p>
            <w:pPr>
              <w:spacing w:after="0"/>
              <w:rPr>
                <w:sz w:val="15"/>
                <w:szCs w:val="15"/>
                <w:color w:val="auto"/>
              </w:rPr>
            </w:pPr>
          </w:p>
        </w:tc>
        <w:tc>
          <w:tcPr>
            <w:tcW w:w="2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Total Fee Offsets (3)</w:t>
            </w:r>
          </w:p>
        </w:tc>
        <w:tc>
          <w:tcPr>
            <w:tcW w:w="14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60"/>
        </w:trPr>
        <w:tc>
          <w:tcPr>
            <w:tcW w:w="1420" w:type="dxa"/>
            <w:vAlign w:val="bottom"/>
            <w:tcBorders>
              <w:left w:val="single" w:sz="8" w:color="auto"/>
            </w:tcBorders>
          </w:tcPr>
          <w:p>
            <w:pPr>
              <w:spacing w:after="0"/>
              <w:rPr>
                <w:sz w:val="5"/>
                <w:szCs w:val="5"/>
                <w:color w:val="auto"/>
              </w:rPr>
            </w:pPr>
          </w:p>
        </w:tc>
        <w:tc>
          <w:tcPr>
            <w:tcW w:w="2820" w:type="dxa"/>
            <w:vAlign w:val="bottom"/>
            <w:gridSpan w:val="2"/>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4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420" w:type="dxa"/>
            <w:vAlign w:val="bottom"/>
            <w:tcBorders>
              <w:left w:val="single" w:sz="8" w:color="auto"/>
            </w:tcBorders>
          </w:tcPr>
          <w:p>
            <w:pPr>
              <w:spacing w:after="0"/>
              <w:rPr>
                <w:sz w:val="15"/>
                <w:szCs w:val="15"/>
                <w:color w:val="auto"/>
              </w:rPr>
            </w:pPr>
          </w:p>
        </w:tc>
        <w:tc>
          <w:tcPr>
            <w:tcW w:w="2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Net Fee Due</w:t>
            </w:r>
          </w:p>
        </w:tc>
        <w:tc>
          <w:tcPr>
            <w:tcW w:w="14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$7,940.75</w:t>
            </w:r>
          </w:p>
        </w:tc>
        <w:tc>
          <w:tcPr>
            <w:tcW w:w="0" w:type="dxa"/>
            <w:vAlign w:val="bottom"/>
          </w:tcPr>
          <w:p>
            <w:pPr>
              <w:spacing w:after="0"/>
              <w:rPr>
                <w:sz w:val="1"/>
                <w:szCs w:val="1"/>
                <w:color w:val="auto"/>
              </w:rPr>
            </w:pPr>
          </w:p>
        </w:tc>
      </w:tr>
      <w:tr>
        <w:trPr>
          <w:trHeight w:val="60"/>
        </w:trPr>
        <w:tc>
          <w:tcPr>
            <w:tcW w:w="1420" w:type="dxa"/>
            <w:vAlign w:val="bottom"/>
            <w:tcBorders>
              <w:left w:val="single" w:sz="8" w:color="auto"/>
            </w:tcBorders>
          </w:tcPr>
          <w:p>
            <w:pPr>
              <w:spacing w:after="0"/>
              <w:rPr>
                <w:sz w:val="5"/>
                <w:szCs w:val="5"/>
                <w:color w:val="auto"/>
              </w:rPr>
            </w:pPr>
          </w:p>
        </w:tc>
        <w:tc>
          <w:tcPr>
            <w:tcW w:w="2820" w:type="dxa"/>
            <w:vAlign w:val="bottom"/>
            <w:gridSpan w:val="2"/>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4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280" w:hanging="275"/>
        <w:spacing w:after="0"/>
        <w:tabs>
          <w:tab w:leader="none" w:pos="2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Rule 416 under the Securities Act of 1933, as amended (the “Securities Act”), this Registration Statement on Form S-8 also covers an additional indeterminate amount of shares of Class A common stock</w:t>
      </w:r>
    </w:p>
    <w:p>
      <w:pPr>
        <w:spacing w:after="0" w:line="52" w:lineRule="exact"/>
        <w:rPr>
          <w:rFonts w:ascii="Times New Roman" w:cs="Times New Roman" w:eastAsia="Times New Roman" w:hAnsi="Times New Roman"/>
          <w:sz w:val="12"/>
          <w:szCs w:val="12"/>
          <w:color w:val="auto"/>
        </w:rPr>
      </w:pPr>
    </w:p>
    <w:p>
      <w:pPr>
        <w:ind w:left="260" w:right="20"/>
        <w:spacing w:after="0" w:line="31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“Common Stock”) to be offered or sold pursuant to the equity incentive plan described herein, which may become issuable to prevent dilution resulting from adjustments as a result of stock dividends, stock splits, reverse stock splits and other anti-dilution provisions.</w:t>
      </w:r>
    </w:p>
    <w:p>
      <w:pPr>
        <w:spacing w:after="0" w:line="85" w:lineRule="exact"/>
        <w:rPr>
          <w:rFonts w:ascii="Times New Roman" w:cs="Times New Roman" w:eastAsia="Times New Roman" w:hAnsi="Times New Roman"/>
          <w:sz w:val="12"/>
          <w:szCs w:val="12"/>
          <w:color w:val="auto"/>
        </w:rPr>
      </w:pPr>
    </w:p>
    <w:p>
      <w:pPr>
        <w:ind w:left="260" w:right="20" w:hanging="255"/>
        <w:spacing w:after="0" w:line="361" w:lineRule="auto"/>
        <w:tabs>
          <w:tab w:leader="none" w:pos="28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Rule 457(c) and Rule 457(h) under the Securities Act, the proposed maximum offering price per share is estimated solely for the purpose of calculating the registration fee and is based upon the average of the high and low prices of the Registrant’s Common Stock as reported on the New York Stock Exchange on May 13, 2026, which date is within five business days prior to filing this Registration Statement.</w:t>
      </w:r>
    </w:p>
    <w:p>
      <w:pPr>
        <w:spacing w:after="0" w:line="62" w:lineRule="exact"/>
        <w:rPr>
          <w:rFonts w:ascii="Times New Roman" w:cs="Times New Roman" w:eastAsia="Times New Roman" w:hAnsi="Times New Roman"/>
          <w:sz w:val="12"/>
          <w:szCs w:val="12"/>
          <w:color w:val="auto"/>
        </w:rPr>
      </w:pPr>
    </w:p>
    <w:p>
      <w:pPr>
        <w:ind w:left="280" w:hanging="275"/>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is not relying on Rule 457(p) to offset some or all of the filing fee due.</w:t>
      </w:r>
    </w:p>
    <w:p>
      <w:pPr>
        <w:sectPr>
          <w:pgSz w:w="11900" w:h="16838" w:orient="portrait"/>
          <w:cols w:equalWidth="0" w:num="1">
            <w:col w:w="11300"/>
          </w:cols>
          <w:pgMar w:left="300" w:top="1247" w:right="299" w:bottom="1440" w:gutter="0" w:footer="0" w:header="0"/>
        </w:sectPr>
      </w:pPr>
    </w:p>
    <w:bookmarkStart w:id="12" w:name="page13"/>
    <w:bookmarkEnd w:id="12"/>
    <w:p>
      <w:pPr>
        <w:spacing w:after="0"/>
        <w:tabs>
          <w:tab w:leader="none" w:pos="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80"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27"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S-8 of our reports dated February 18, 2026 relating to the financial statements of BrightSpire Capital, Inc. and the effectiveness of BrightSpire Capital, Inc’s internal control over financial reporting, appearing in the Annual Report on Form 10-K of BrightSpire Capital Inc. for the year ended December 31, 2025.</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18, 2026</w:t>
      </w:r>
    </w:p>
    <w:p>
      <w:pPr>
        <w:sectPr>
          <w:pgSz w:w="11900" w:h="16838" w:orient="portrait"/>
          <w:cols w:equalWidth="0" w:num="1">
            <w:col w:w="11280"/>
          </w:cols>
          <w:pgMar w:left="300" w:top="129"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6"/>
          <w:szCs w:val="16"/>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(Form S-8) pertaining to the 2022 Equity Incentive Plan of BrightSpire Capital, Inc. of our report dated February 19, 2025, with respect to the consolidated financial statements and financial statement schedules of BrightSpire Capital, Inc., included in its Annual Report (Form 10-K) for the year ended December 31, 2025, filed with the Securities and Exchange Commission.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18, 2026</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5">
    <w:nsid w:val="41B71E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8" Type="http://schemas.openxmlformats.org/officeDocument/2006/relationships/hyperlink" Target="https://www.sec.gov/Archives/edgar/data/1717547/000171754721000035/brsp06302021exhibit31.htm" TargetMode="External"/><Relationship Id="rId9" Type="http://schemas.openxmlformats.org/officeDocument/2006/relationships/hyperlink" Target="https://www.sec.gov/Archives/edgar/data/1717547/000171754723000064/brsp03312023exhibit32.htm" TargetMode="External"/><Relationship Id="rId10" Type="http://schemas.openxmlformats.org/officeDocument/2006/relationships/hyperlink" Target="https://www.sec.gov/Archives/edgar/data/1717547/000171754722000048/brsp8-k05052022exhibit101.htm" TargetMode="External"/><Relationship Id="rId11" Type="http://schemas.openxmlformats.org/officeDocument/2006/relationships/hyperlink" Target="https://www.sec.gov/Archives/edgar/data/1717547/000171754724000008/brsp12312023exhibit107.htm" TargetMode="External"/><Relationship Id="rId12" Type="http://schemas.openxmlformats.org/officeDocument/2006/relationships/hyperlink" Target="https://www.sec.gov/Archives/edgar/data/1717547/000171754726000044/brsp8-k05132026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2026-05-18T16:25:34Z</dcterms:created>
  <dcterms:modified xsi:type="dcterms:W3CDTF">2026-05-18T16:25:34Z</dcterms:modified>
</cp:coreProperties>
</file>