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19, 2026</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BrightSpire Capital,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820" w:type="dxa"/>
        <w:tblCellMar>
          <w:top w:w="0" w:type="dxa"/>
          <w:left w:w="0" w:type="dxa"/>
          <w:bottom w:w="0" w:type="dxa"/>
          <w:right w:w="0" w:type="dxa"/>
        </w:tblCellMar>
      </w:tblPr>
      <w:tr>
        <w:trPr>
          <w:trHeight w:val="233"/>
        </w:trPr>
        <w:tc>
          <w:tcPr>
            <w:tcW w:w="2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001-38377</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38-4046290</w:t>
            </w:r>
          </w:p>
        </w:tc>
      </w:tr>
      <w:tr>
        <w:trPr>
          <w:trHeight w:val="230"/>
        </w:trPr>
        <w:tc>
          <w:tcPr>
            <w:tcW w:w="2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04"/>
        </w:trPr>
        <w:tc>
          <w:tcPr>
            <w:tcW w:w="212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590 Madison Avenue, 33rd Floor</w:t>
            </w:r>
          </w:p>
        </w:tc>
        <w:tc>
          <w:tcPr>
            <w:tcW w:w="168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New York, NY 10022</w:t>
            </w:r>
          </w:p>
        </w:tc>
        <w:tc>
          <w:tcPr>
            <w:tcW w:w="168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80" w:type="dxa"/>
            <w:vAlign w:val="bottom"/>
          </w:tcPr>
          <w:p>
            <w:pPr>
              <w:spacing w:after="0"/>
              <w:rPr>
                <w:sz w:val="20"/>
                <w:szCs w:val="20"/>
                <w:color w:val="auto"/>
              </w:rPr>
            </w:pPr>
          </w:p>
        </w:tc>
      </w:tr>
      <w:tr>
        <w:trPr>
          <w:trHeight w:val="459"/>
        </w:trPr>
        <w:tc>
          <w:tcPr>
            <w:tcW w:w="212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547-2631</w:t>
            </w:r>
          </w:p>
        </w:tc>
        <w:tc>
          <w:tcPr>
            <w:tcW w:w="1680" w:type="dxa"/>
            <w:vAlign w:val="bottom"/>
          </w:tcPr>
          <w:p>
            <w:pPr>
              <w:spacing w:after="0"/>
              <w:rPr>
                <w:sz w:val="24"/>
                <w:szCs w:val="24"/>
                <w:color w:val="auto"/>
              </w:rPr>
            </w:pPr>
          </w:p>
        </w:tc>
      </w:tr>
      <w:tr>
        <w:trPr>
          <w:trHeight w:val="441"/>
        </w:trPr>
        <w:tc>
          <w:tcPr>
            <w:tcW w:w="212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l4a-12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$0.01 per share</w:t>
            </w:r>
          </w:p>
        </w:tc>
        <w:tc>
          <w:tcPr>
            <w:tcW w:w="100" w:type="dxa"/>
            <w:vAlign w:val="bottom"/>
          </w:tcPr>
          <w:p>
            <w:pPr>
              <w:spacing w:after="0"/>
              <w:rPr>
                <w:sz w:val="18"/>
                <w:szCs w:val="18"/>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BRSP</w:t>
            </w:r>
          </w:p>
        </w:tc>
        <w:tc>
          <w:tcPr>
            <w:tcW w:w="100" w:type="dxa"/>
            <w:vAlign w:val="bottom"/>
          </w:tcPr>
          <w:p>
            <w:pPr>
              <w:spacing w:after="0"/>
              <w:rPr>
                <w:sz w:val="18"/>
                <w:szCs w:val="18"/>
                <w:color w:val="auto"/>
              </w:rPr>
            </w:pPr>
          </w:p>
        </w:tc>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28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5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Mazzei Employment Agreement</w:t>
      </w:r>
    </w:p>
    <w:p>
      <w:pPr>
        <w:spacing w:after="0" w:line="24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February 16, 2024, the Company entered into a second amended and restated employment agreement with Michael Mazzei, Chief Executive Officer (the “Second Amended and Restated Employment Agreement”), pursuant to which Mr. Mazzei’s term of employment expires on March 31, 2027. Thereunder, Mr. Mazzei receives an annual base salary of $800,000, an annual target cash bonus opportunity (“Annual Cash Bonus”) of no less than $1,750,000, and an annual target long-term equity incentive opportunity (“Annual LTIP Award”) of no less than $3,000,000.</w:t>
      </w:r>
    </w:p>
    <w:p>
      <w:pPr>
        <w:spacing w:after="0" w:line="207"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On May 19, 2026, the Company and Mr. Mazzei entered into a First Amendment (the “First Amendment”) to the Second Amended and Restated Employment Agreement, to extend the term of employment to March 31, 2030. In addition, Mr. Mazzei agreed to (A) reduce his Annual Cash Bonus opportunity for calendar years 2027 to 2029 to no less than: 2027 - $1,575,000; 2028 - $1,450,000; and 2029 - $1,375,000, and (B) reduce his target Annual LTIP Award for calendar years 2027 to 2029 to no less than: 2027 - $2,700,000; 2028 - $2,475,000; and 2029 - $2,375,000.</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 of certain terms of the Second Amended Employment Agreement and First Amendment do not purport to be complete and are qualified in their entirety by reference to the full text of (i) the Second Amended Employment Agreement, which is filed as Exhibit 10.58 to the Company's Annual Report on Form 10-K on February 21, 2024, and (ii) the First Amendment, a copy of which is attached hereto as Exhibit 10.1.</w:t>
      </w:r>
    </w:p>
    <w:p>
      <w:pPr>
        <w:spacing w:after="0" w:line="200" w:lineRule="exact"/>
        <w:rPr>
          <w:sz w:val="20"/>
          <w:szCs w:val="20"/>
          <w:color w:val="auto"/>
        </w:rPr>
      </w:pPr>
    </w:p>
    <w:p>
      <w:pPr>
        <w:spacing w:after="0" w:line="21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35" w:lineRule="exact"/>
        <w:rPr>
          <w:sz w:val="20"/>
          <w:szCs w:val="20"/>
          <w:color w:val="auto"/>
        </w:rPr>
      </w:pPr>
    </w:p>
    <w:p>
      <w:pPr>
        <w:ind w:left="700" w:hanging="256"/>
        <w:spacing w:after="0"/>
        <w:tabs>
          <w:tab w:leader="none" w:pos="70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exhibits are being furnished herewith to this Current Report on Form 8-K.</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54"/>
        </w:trPr>
        <w:tc>
          <w:tcPr>
            <w:tcW w:w="130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7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First Amendment to the Second Amended Employment Agreement by and between Michael Mazzei and BrightSpire Capital US, LLC,</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dated as of May 19, 2026</w:t>
            </w:r>
          </w:p>
        </w:tc>
        <w:tc>
          <w:tcPr>
            <w:tcW w:w="790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63"/>
        </w:trPr>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76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BRIGHTSPIRE CAPITAL, INC.</w:t>
            </w:r>
          </w:p>
        </w:tc>
      </w:tr>
      <w:tr>
        <w:trPr>
          <w:trHeight w:val="499"/>
        </w:trPr>
        <w:tc>
          <w:tcPr>
            <w:tcW w:w="3340" w:type="dxa"/>
            <w:vAlign w:val="bottom"/>
          </w:tcPr>
          <w:p>
            <w:pPr>
              <w:spacing w:after="0"/>
              <w:rPr>
                <w:sz w:val="24"/>
                <w:szCs w:val="24"/>
                <w:color w:val="auto"/>
              </w:rPr>
            </w:pP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A. Palamé</w:t>
            </w:r>
          </w:p>
        </w:tc>
      </w:tr>
      <w:tr>
        <w:trPr>
          <w:trHeight w:val="237"/>
        </w:trPr>
        <w:tc>
          <w:tcPr>
            <w:tcW w:w="3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Palamé</w:t>
            </w:r>
          </w:p>
        </w:tc>
      </w:tr>
      <w:tr>
        <w:trPr>
          <w:trHeight w:val="257"/>
        </w:trPr>
        <w:tc>
          <w:tcPr>
            <w:tcW w:w="33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220"/>
          </w:cols>
          <w:pgMar w:left="320" w:top="92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EMPLOYMENT AGREEMENT</w:t>
      </w:r>
    </w:p>
    <w:p>
      <w:pPr>
        <w:spacing w:after="0" w:line="223" w:lineRule="exact"/>
        <w:rPr>
          <w:sz w:val="20"/>
          <w:szCs w:val="20"/>
          <w:color w:val="auto"/>
        </w:rPr>
      </w:pPr>
    </w:p>
    <w:p>
      <w:pPr>
        <w:jc w:val="both"/>
        <w:ind w:firstLine="219"/>
        <w:spacing w:after="0" w:line="256" w:lineRule="auto"/>
        <w:rPr>
          <w:sz w:val="20"/>
          <w:szCs w:val="20"/>
          <w:color w:val="auto"/>
        </w:rPr>
      </w:pPr>
      <w:r>
        <w:rPr>
          <w:rFonts w:ascii="Times New Roman" w:cs="Times New Roman" w:eastAsia="Times New Roman" w:hAnsi="Times New Roman"/>
          <w:sz w:val="22"/>
          <w:szCs w:val="22"/>
          <w:color w:val="auto"/>
        </w:rPr>
        <w:t>On February 16, 2024, BrightSpire Capital US, LLC, a Delaware limited liability company (“</w:t>
      </w:r>
      <w:r>
        <w:rPr>
          <w:rFonts w:ascii="Times New Roman" w:cs="Times New Roman" w:eastAsia="Times New Roman" w:hAnsi="Times New Roman"/>
          <w:sz w:val="22"/>
          <w:szCs w:val="22"/>
          <w:u w:val="single" w:color="auto"/>
          <w:color w:val="auto"/>
        </w:rPr>
        <w:t>BRSP</w:t>
      </w:r>
      <w:r>
        <w:rPr>
          <w:rFonts w:ascii="Times New Roman" w:cs="Times New Roman" w:eastAsia="Times New Roman" w:hAnsi="Times New Roman"/>
          <w:sz w:val="22"/>
          <w:szCs w:val="22"/>
          <w:color w:val="auto"/>
        </w:rPr>
        <w:t xml:space="preserve"> ”) and Michael Mazzei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entered into that certain SECOND AMENDED EMPLOYMENT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which such parties hereto desire to amend as follows, effective as of May 19, 2026. Any capitalized terms not defined or amended herein shall have the meaning set forth in the Agreement.</w:t>
      </w:r>
    </w:p>
    <w:p>
      <w:pPr>
        <w:spacing w:after="0" w:line="203" w:lineRule="exact"/>
        <w:rPr>
          <w:sz w:val="20"/>
          <w:szCs w:val="20"/>
          <w:color w:val="auto"/>
        </w:rPr>
      </w:pPr>
    </w:p>
    <w:p>
      <w:pPr>
        <w:ind w:left="660" w:hanging="652"/>
        <w:spacing w:after="0" w:line="271"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in respect of Section 1 regarding Employment Term, the Executive’s employment shall be extended from March 31, 2027 to and expire on March 31, 2030.</w:t>
      </w:r>
    </w:p>
    <w:p>
      <w:pPr>
        <w:spacing w:after="0" w:line="184" w:lineRule="exact"/>
        <w:rPr>
          <w:rFonts w:ascii="Times New Roman" w:cs="Times New Roman" w:eastAsia="Times New Roman" w:hAnsi="Times New Roman"/>
          <w:sz w:val="22"/>
          <w:szCs w:val="22"/>
          <w:color w:val="auto"/>
        </w:rPr>
      </w:pPr>
    </w:p>
    <w:p>
      <w:pPr>
        <w:jc w:val="both"/>
        <w:ind w:left="660" w:hanging="652"/>
        <w:spacing w:after="0" w:line="263"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in respect of Section 3(b) “</w:t>
      </w:r>
      <w:r>
        <w:rPr>
          <w:rFonts w:ascii="Times New Roman" w:cs="Times New Roman" w:eastAsia="Times New Roman" w:hAnsi="Times New Roman"/>
          <w:sz w:val="22"/>
          <w:szCs w:val="22"/>
          <w:u w:val="single" w:color="auto"/>
          <w:color w:val="auto"/>
        </w:rPr>
        <w:t>Annual Cash Bonus</w:t>
      </w:r>
      <w:r>
        <w:rPr>
          <w:rFonts w:ascii="Times New Roman" w:cs="Times New Roman" w:eastAsia="Times New Roman" w:hAnsi="Times New Roman"/>
          <w:sz w:val="22"/>
          <w:szCs w:val="22"/>
          <w:color w:val="auto"/>
        </w:rPr>
        <w:t>”, the Executive’s target Annual Bonus specifically with regard to the following calendar years shall be reset from $1,750,000 as follows: 2027 - $1,575,000; 2028 - $1,450,000; and 2029 = $1,375,000.</w:t>
      </w:r>
    </w:p>
    <w:p>
      <w:pPr>
        <w:spacing w:after="0" w:line="194" w:lineRule="exact"/>
        <w:rPr>
          <w:rFonts w:ascii="Times New Roman" w:cs="Times New Roman" w:eastAsia="Times New Roman" w:hAnsi="Times New Roman"/>
          <w:sz w:val="22"/>
          <w:szCs w:val="22"/>
          <w:color w:val="auto"/>
        </w:rPr>
      </w:pPr>
    </w:p>
    <w:p>
      <w:pPr>
        <w:jc w:val="both"/>
        <w:ind w:left="660" w:hanging="652"/>
        <w:spacing w:after="0" w:line="257"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in respect of Section 3(c) “</w:t>
      </w:r>
      <w:r>
        <w:rPr>
          <w:rFonts w:ascii="Times New Roman" w:cs="Times New Roman" w:eastAsia="Times New Roman" w:hAnsi="Times New Roman"/>
          <w:sz w:val="22"/>
          <w:szCs w:val="22"/>
          <w:u w:val="single" w:color="auto"/>
          <w:color w:val="auto"/>
        </w:rPr>
        <w:t>Equity Incentives and Related Awards</w:t>
      </w:r>
      <w:r>
        <w:rPr>
          <w:rFonts w:ascii="Times New Roman" w:cs="Times New Roman" w:eastAsia="Times New Roman" w:hAnsi="Times New Roman"/>
          <w:sz w:val="22"/>
          <w:szCs w:val="22"/>
          <w:color w:val="auto"/>
        </w:rPr>
        <w:t>”, the Executive’s annual Target LTIP Award specifically with regard to the following calendar years shall be reset from $3,000,000 as follows: 2027 - $2,700,000; 2028 - $2,475,000; and 2029 = $2,375,000.</w:t>
      </w:r>
    </w:p>
    <w:p>
      <w:pPr>
        <w:spacing w:after="0" w:line="199" w:lineRule="exact"/>
        <w:rPr>
          <w:rFonts w:ascii="Times New Roman" w:cs="Times New Roman" w:eastAsia="Times New Roman" w:hAnsi="Times New Roman"/>
          <w:sz w:val="22"/>
          <w:szCs w:val="22"/>
          <w:color w:val="auto"/>
        </w:rPr>
      </w:pPr>
    </w:p>
    <w:p>
      <w:pPr>
        <w:jc w:val="both"/>
        <w:ind w:left="660" w:hanging="652"/>
        <w:spacing w:after="0" w:line="253"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in respect of Section 4(c)(i) and 4(c)(ii), for all calculation purposes therein, (x) the Target Bonus Amount and Annual Bonus amount shall remain at $1,750,000, and (y) the Target LTIP Award shall remain at $3,000,000, in each case, notwithstanding the amendments to Sections 3(b) and 3(c) above, and the amendments to Sections 3(b) and 3(c) shall not be considered a reduction in the Target Bonus Amount or the Target LTIP Award for purposes of Section 4(c) (iii).</w:t>
      </w:r>
    </w:p>
    <w:p>
      <w:pPr>
        <w:spacing w:after="0" w:line="20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and only to the extent as set forth and amended above, the Agreement shall remain in full force and effect.</w:t>
      </w:r>
    </w:p>
    <w:p>
      <w:pPr>
        <w:spacing w:after="0" w:line="260" w:lineRule="exact"/>
        <w:rPr>
          <w:rFonts w:ascii="Times New Roman" w:cs="Times New Roman" w:eastAsia="Times New Roman" w:hAnsi="Times New Roman"/>
          <w:sz w:val="22"/>
          <w:szCs w:val="22"/>
          <w:color w:val="auto"/>
        </w:rPr>
      </w:pPr>
    </w:p>
    <w:p>
      <w:pPr>
        <w:ind w:left="3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[signature page to follow on next page]</w:t>
      </w:r>
    </w:p>
    <w:p>
      <w:pPr>
        <w:sectPr>
          <w:pgSz w:w="11900" w:h="16838" w:orient="portrait"/>
          <w:cols w:equalWidth="0" w:num="1">
            <w:col w:w="11240"/>
          </w:cols>
          <w:pgMar w:left="320" w:top="122" w:right="339" w:bottom="1440" w:gutter="0" w:footer="0" w:header="0"/>
        </w:sectPr>
      </w:pPr>
    </w:p>
    <w:bookmarkStart w:id="4" w:name="page5"/>
    <w:bookmarkEnd w:id="4"/>
    <w:p>
      <w:pPr>
        <w:spacing w:after="0" w:line="200" w:lineRule="exact"/>
        <w:rPr>
          <w:sz w:val="20"/>
          <w:szCs w:val="20"/>
          <w:color w:val="auto"/>
        </w:rPr>
      </w:pPr>
    </w:p>
    <w:p>
      <w:pPr>
        <w:spacing w:after="0" w:line="262"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2"/>
          <w:szCs w:val="22"/>
          <w:color w:val="auto"/>
        </w:rPr>
        <w:t>IN WITNESS WHEREOF, the parties hereto have caused this First Amendment to the Agreement to be executed this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2026.</w:t>
      </w:r>
    </w:p>
    <w:p>
      <w:pPr>
        <w:spacing w:after="0" w:line="200" w:lineRule="exact"/>
        <w:rPr>
          <w:sz w:val="20"/>
          <w:szCs w:val="20"/>
          <w:color w:val="auto"/>
        </w:rPr>
      </w:pPr>
    </w:p>
    <w:p>
      <w:pPr>
        <w:spacing w:after="0" w:line="3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BRIGHTSPIRE CAPITAL US, LLC</w:t>
      </w:r>
    </w:p>
    <w:p>
      <w:pPr>
        <w:spacing w:after="0" w:line="200" w:lineRule="exact"/>
        <w:rPr>
          <w:sz w:val="20"/>
          <w:szCs w:val="20"/>
          <w:color w:val="auto"/>
        </w:rPr>
      </w:pPr>
    </w:p>
    <w:p>
      <w:pPr>
        <w:spacing w:after="0" w:line="3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 /s/ David A. Palamé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19685</wp:posOffset>
            </wp:positionV>
            <wp:extent cx="3600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 David A. Palamé</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 /s/ Michael Mazzei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91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 Michael Mazzei</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2026-05-20T16:15:26Z</dcterms:created>
  <dcterms:modified xsi:type="dcterms:W3CDTF">2026-05-20T16:15:26Z</dcterms:modified>
</cp:coreProperties>
</file>